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A91B1" w14:textId="77777777" w:rsidR="00C35ED0" w:rsidRDefault="008E7B7F">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12 (Clustering)</w:t>
      </w:r>
    </w:p>
    <w:p w14:paraId="3CC41C5A" w14:textId="77777777" w:rsidR="00C35ED0" w:rsidRDefault="008E7B7F">
      <w:pPr>
        <w:keepNext/>
        <w:numPr>
          <w:ilvl w:val="0"/>
          <w:numId w:val="1"/>
        </w:numPr>
        <w:pBdr>
          <w:top w:val="nil"/>
          <w:left w:val="nil"/>
          <w:bottom w:val="nil"/>
          <w:right w:val="nil"/>
          <w:between w:val="nil"/>
        </w:pBdr>
        <w:spacing w:before="240"/>
        <w:jc w:val="left"/>
        <w:rPr>
          <w:rFonts w:eastAsia="Arial"/>
          <w:b/>
          <w:color w:val="000000"/>
          <w:sz w:val="24"/>
          <w:szCs w:val="24"/>
        </w:rPr>
      </w:pPr>
      <w:r>
        <w:rPr>
          <w:rFonts w:eastAsia="Arial"/>
          <w:b/>
          <w:color w:val="000000"/>
          <w:sz w:val="24"/>
          <w:szCs w:val="24"/>
        </w:rPr>
        <w:t>When you should use this Schedule</w:t>
      </w:r>
    </w:p>
    <w:p w14:paraId="4A8075A5" w14:textId="77777777" w:rsidR="00C35ED0" w:rsidRDefault="008E7B7F">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14:paraId="3D2E29B0" w14:textId="77777777" w:rsidR="00C35ED0" w:rsidRDefault="008E7B7F">
      <w:pPr>
        <w:keepNext/>
        <w:numPr>
          <w:ilvl w:val="0"/>
          <w:numId w:val="1"/>
        </w:numPr>
        <w:pBdr>
          <w:top w:val="nil"/>
          <w:left w:val="nil"/>
          <w:bottom w:val="nil"/>
          <w:right w:val="nil"/>
          <w:between w:val="nil"/>
        </w:pBdr>
        <w:spacing w:before="240"/>
        <w:jc w:val="left"/>
        <w:rPr>
          <w:rFonts w:eastAsia="Arial"/>
          <w:b/>
          <w:color w:val="000000"/>
          <w:sz w:val="24"/>
          <w:szCs w:val="24"/>
        </w:rPr>
      </w:pPr>
      <w:r>
        <w:rPr>
          <w:rFonts w:eastAsia="Arial"/>
          <w:b/>
          <w:color w:val="000000"/>
          <w:sz w:val="24"/>
          <w:szCs w:val="24"/>
        </w:rPr>
        <w:t xml:space="preserve">Definitions </w:t>
      </w:r>
    </w:p>
    <w:p w14:paraId="2F020A3F" w14:textId="77777777" w:rsidR="00C35ED0" w:rsidRDefault="008E7B7F">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b/>
          <w:color w:val="000000"/>
          <w:sz w:val="24"/>
          <w:szCs w:val="24"/>
        </w:rPr>
        <w:t>“Cluster Members"</w:t>
      </w:r>
      <w:r>
        <w:rPr>
          <w:rFonts w:eastAsia="Arial"/>
          <w:color w:val="000000"/>
          <w:sz w:val="24"/>
          <w:szCs w:val="24"/>
        </w:rPr>
        <w:t xml:space="preserve"> means a person named as such in the Annex A to this Schedule which shall be incorporated into the Order Form. </w:t>
      </w:r>
    </w:p>
    <w:p w14:paraId="7C4FED66" w14:textId="77777777" w:rsidR="00C35ED0" w:rsidRDefault="008E7B7F">
      <w:pPr>
        <w:numPr>
          <w:ilvl w:val="0"/>
          <w:numId w:val="1"/>
        </w:numPr>
        <w:pBdr>
          <w:top w:val="nil"/>
          <w:left w:val="nil"/>
          <w:bottom w:val="nil"/>
          <w:right w:val="nil"/>
          <w:between w:val="nil"/>
        </w:pBdr>
        <w:spacing w:before="240"/>
        <w:jc w:val="left"/>
        <w:rPr>
          <w:rFonts w:eastAsia="Arial"/>
          <w:b/>
          <w:smallCaps/>
          <w:color w:val="000000"/>
          <w:sz w:val="24"/>
          <w:szCs w:val="24"/>
        </w:rPr>
      </w:pPr>
      <w:r>
        <w:rPr>
          <w:rFonts w:eastAsia="Arial"/>
          <w:b/>
          <w:color w:val="000000"/>
          <w:sz w:val="24"/>
          <w:szCs w:val="24"/>
        </w:rPr>
        <w:t>Cluster Members benefits under the Contract</w:t>
      </w:r>
    </w:p>
    <w:p w14:paraId="21534C15" w14:textId="77777777" w:rsidR="00C35ED0" w:rsidRDefault="008E7B7F">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Buyer has </w:t>
      </w:r>
      <w:proofErr w:type="gramStart"/>
      <w:r>
        <w:rPr>
          <w:rFonts w:eastAsia="Arial"/>
          <w:color w:val="000000"/>
          <w:sz w:val="24"/>
          <w:szCs w:val="24"/>
        </w:rPr>
        <w:t>entered into</w:t>
      </w:r>
      <w:proofErr w:type="gramEnd"/>
      <w:r>
        <w:rPr>
          <w:rFonts w:eastAsia="Arial"/>
          <w:color w:val="000000"/>
          <w:sz w:val="24"/>
          <w:szCs w:val="24"/>
        </w:rPr>
        <w:t xml:space="preserve"> this Call-Off Contract both for its own benefit and for the benefit of the Cluster Members.  </w:t>
      </w:r>
    </w:p>
    <w:p w14:paraId="139A7602" w14:textId="77777777" w:rsidR="00C35ED0" w:rsidRDefault="008E7B7F">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Cluster Members who are to benefit under the Call-Off Contract are identified Annex 1 to this Schedule which shall be included into Order Form.</w:t>
      </w:r>
    </w:p>
    <w:p w14:paraId="27ADDCEE" w14:textId="77777777" w:rsidR="00C35ED0" w:rsidRDefault="008E7B7F">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Cluster Members shall have </w:t>
      </w:r>
      <w:proofErr w:type="gramStart"/>
      <w:r>
        <w:rPr>
          <w:rFonts w:eastAsia="Arial"/>
          <w:color w:val="000000"/>
          <w:sz w:val="24"/>
          <w:szCs w:val="24"/>
        </w:rPr>
        <w:t>all of</w:t>
      </w:r>
      <w:proofErr w:type="gramEnd"/>
      <w:r>
        <w:rPr>
          <w:rFonts w:eastAsia="Arial"/>
          <w:color w:val="000000"/>
          <w:sz w:val="24"/>
          <w:szCs w:val="24"/>
        </w:rPr>
        <w:t xml:space="preserve"> the rights granted to the Buyer under a Call-Off Contract.  Accordingly, where the context requires </w:t>
      </w:r>
      <w:proofErr w:type="gramStart"/>
      <w:r>
        <w:rPr>
          <w:rFonts w:eastAsia="Arial"/>
          <w:color w:val="000000"/>
          <w:sz w:val="24"/>
          <w:szCs w:val="24"/>
        </w:rPr>
        <w:t>in order to</w:t>
      </w:r>
      <w:proofErr w:type="gramEnd"/>
      <w:r>
        <w:rPr>
          <w:rFonts w:eastAsia="Arial"/>
          <w:color w:val="000000"/>
          <w:sz w:val="24"/>
          <w:szCs w:val="24"/>
        </w:rPr>
        <w:t xml:space="preserve">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14:paraId="540164C3" w14:textId="77777777" w:rsidR="00C35ED0" w:rsidRDefault="008E7B7F">
      <w:pPr>
        <w:numPr>
          <w:ilvl w:val="1"/>
          <w:numId w:val="1"/>
        </w:numPr>
        <w:pBdr>
          <w:top w:val="nil"/>
          <w:left w:val="nil"/>
          <w:bottom w:val="nil"/>
          <w:right w:val="nil"/>
          <w:between w:val="nil"/>
        </w:pBdr>
        <w:spacing w:before="120" w:after="120"/>
        <w:jc w:val="left"/>
        <w:rPr>
          <w:rFonts w:eastAsia="Arial"/>
          <w:color w:val="000000"/>
          <w:sz w:val="24"/>
          <w:szCs w:val="24"/>
        </w:rPr>
      </w:pPr>
      <w:bookmarkStart w:id="0" w:name="_heading=h.30j0zll" w:colFirst="0" w:colLast="0"/>
      <w:bookmarkEnd w:id="0"/>
      <w:r>
        <w:rPr>
          <w:rFonts w:eastAsia="Arial"/>
          <w:color w:val="000000"/>
          <w:sz w:val="24"/>
          <w:szCs w:val="24"/>
        </w:rPr>
        <w:t xml:space="preserve">Each of the Cluster Members will be a third party beneficiary for the purposes of the CRTPA and may enforce the relevant provisions of a Call-Off Contract pursuant to CRTPA.  </w:t>
      </w:r>
    </w:p>
    <w:p w14:paraId="54835F8F" w14:textId="77777777" w:rsidR="00C35ED0" w:rsidRDefault="008E7B7F">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Parties to a Call-Off Contract may in accordance with its provisions vary, terminate or rescind that Call-Off Contract or any part of it, without the consent of any Cluster Member.</w:t>
      </w:r>
    </w:p>
    <w:p w14:paraId="4EF5DF2B" w14:textId="77777777" w:rsidR="00C35ED0" w:rsidRDefault="008E7B7F">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1fob9te" w:colFirst="0" w:colLast="0"/>
      <w:bookmarkEnd w:id="1"/>
      <w:r>
        <w:rPr>
          <w:rFonts w:eastAsia="Arial"/>
          <w:color w:val="000000"/>
          <w:sz w:val="24"/>
          <w:szCs w:val="24"/>
        </w:rPr>
        <w:t xml:space="preserve">The enforcement rights granted to Cluster Members under Paragraph 1.4 are subject to the following provisions: </w:t>
      </w:r>
    </w:p>
    <w:p w14:paraId="497F55E1"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 w:name="_heading=h.3znysh7" w:colFirst="0" w:colLast="0"/>
      <w:bookmarkEnd w:id="2"/>
      <w:r>
        <w:rPr>
          <w:rFonts w:eastAsia="Arial"/>
          <w:color w:val="000000"/>
          <w:sz w:val="24"/>
          <w:szCs w:val="24"/>
        </w:rPr>
        <w:t xml:space="preserve">the Buyer may enforce any provision of a Call-Off Contract on behalf of a Cluster </w:t>
      </w:r>
      <w:proofErr w:type="gramStart"/>
      <w:r>
        <w:rPr>
          <w:rFonts w:eastAsia="Arial"/>
          <w:color w:val="000000"/>
          <w:sz w:val="24"/>
          <w:szCs w:val="24"/>
        </w:rPr>
        <w:t>Member;</w:t>
      </w:r>
      <w:proofErr w:type="gramEnd"/>
      <w:r>
        <w:rPr>
          <w:rFonts w:eastAsia="Arial"/>
          <w:color w:val="000000"/>
          <w:sz w:val="24"/>
          <w:szCs w:val="24"/>
        </w:rPr>
        <w:t xml:space="preserve"> </w:t>
      </w:r>
    </w:p>
    <w:p w14:paraId="350E69BD"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claim from a Cluster Member under the CRTPA to enforce a Call-Off Contract shall be brought by the Buyer if reasonably practicable for the Buyer and Cluster Member to do so; and</w:t>
      </w:r>
    </w:p>
    <w:p w14:paraId="04FB38B4"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14:paraId="34BAF7FB" w14:textId="77777777" w:rsidR="00C35ED0" w:rsidRDefault="008E7B7F">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Notwithstanding that Cluster Members shall each receive the same Services from the Supplier the following adjustments will apply in relation to how the Call-Off Contract will operate in relation to the Buyer and Cluster Members:</w:t>
      </w:r>
    </w:p>
    <w:p w14:paraId="03C82091"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Services will be provided by the Supplier to each Cluster Member and Buyer </w:t>
      </w:r>
      <w:proofErr w:type="gramStart"/>
      <w:r>
        <w:rPr>
          <w:rFonts w:eastAsia="Arial"/>
          <w:color w:val="000000"/>
          <w:sz w:val="24"/>
          <w:szCs w:val="24"/>
        </w:rPr>
        <w:t>separately;</w:t>
      </w:r>
      <w:proofErr w:type="gramEnd"/>
      <w:r>
        <w:rPr>
          <w:rFonts w:eastAsia="Arial"/>
          <w:color w:val="000000"/>
          <w:sz w:val="24"/>
          <w:szCs w:val="24"/>
        </w:rPr>
        <w:t xml:space="preserve"> </w:t>
      </w:r>
    </w:p>
    <w:p w14:paraId="2F961FFC"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Supplier's obligation </w:t>
      </w:r>
      <w:proofErr w:type="gramStart"/>
      <w:r>
        <w:rPr>
          <w:rFonts w:eastAsia="Arial"/>
          <w:color w:val="000000"/>
          <w:sz w:val="24"/>
          <w:szCs w:val="24"/>
        </w:rPr>
        <w:t>in regards to</w:t>
      </w:r>
      <w:proofErr w:type="gramEnd"/>
      <w:r>
        <w:rPr>
          <w:rFonts w:eastAsia="Arial"/>
          <w:color w:val="000000"/>
          <w:sz w:val="24"/>
          <w:szCs w:val="24"/>
        </w:rPr>
        <w:t xml:space="preserve"> reporting will be owed to each Cluster Member and Buyer separately;</w:t>
      </w:r>
    </w:p>
    <w:p w14:paraId="2D55E110"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Buyer and Cluster Members shall be entitled to separate invoices in respect of the provision of </w:t>
      </w:r>
      <w:proofErr w:type="gramStart"/>
      <w:r>
        <w:rPr>
          <w:rFonts w:eastAsia="Arial"/>
          <w:color w:val="000000"/>
          <w:sz w:val="24"/>
          <w:szCs w:val="24"/>
        </w:rPr>
        <w:t>Deliverables;</w:t>
      </w:r>
      <w:proofErr w:type="gramEnd"/>
      <w:r>
        <w:rPr>
          <w:rFonts w:eastAsia="Arial"/>
          <w:color w:val="000000"/>
          <w:sz w:val="24"/>
          <w:szCs w:val="24"/>
        </w:rPr>
        <w:t xml:space="preserve"> </w:t>
      </w:r>
    </w:p>
    <w:p w14:paraId="52A7E679"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separate invoices will correlate to the Deliverables provided to the respective Buyer and Cluster </w:t>
      </w:r>
      <w:proofErr w:type="gramStart"/>
      <w:r>
        <w:rPr>
          <w:rFonts w:eastAsia="Arial"/>
          <w:color w:val="000000"/>
          <w:sz w:val="24"/>
          <w:szCs w:val="24"/>
        </w:rPr>
        <w:t>Members;</w:t>
      </w:r>
      <w:proofErr w:type="gramEnd"/>
    </w:p>
    <w:p w14:paraId="0E418AA0"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Charges to be paid for the Deliverables shall be calculated on a per Cluster Member and Buyer basis and each Cluster Member and the Buyer shall be responsible for paying their respective </w:t>
      </w:r>
      <w:proofErr w:type="gramStart"/>
      <w:r>
        <w:rPr>
          <w:rFonts w:eastAsia="Arial"/>
          <w:color w:val="000000"/>
          <w:sz w:val="24"/>
          <w:szCs w:val="24"/>
        </w:rPr>
        <w:t>Charges;</w:t>
      </w:r>
      <w:proofErr w:type="gramEnd"/>
    </w:p>
    <w:p w14:paraId="036FC75D"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2et92p0" w:colFirst="0" w:colLast="0"/>
      <w:bookmarkEnd w:id="3"/>
      <w:r>
        <w:rPr>
          <w:rFonts w:eastAsia="Arial"/>
          <w:color w:val="000000"/>
          <w:sz w:val="24"/>
          <w:szCs w:val="24"/>
        </w:rPr>
        <w:t>the Service Levels and corresponding Service Credits will be calculated in respect of each Cluster Member and Buyer, and they will be reported and deducted against Charges due by each respective Cluster Member and Buyer; and</w:t>
      </w:r>
    </w:p>
    <w:p w14:paraId="723FE6D7" w14:textId="77777777" w:rsidR="00C35ED0" w:rsidRDefault="008E7B7F">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such further adjustments as the Buyer and each Cluster Member may notify to the Supplier from time to time. </w:t>
      </w:r>
    </w:p>
    <w:p w14:paraId="1887BED1" w14:textId="77777777" w:rsidR="00C35ED0" w:rsidRDefault="008E7B7F">
      <w:pPr>
        <w:spacing w:after="200" w:line="276" w:lineRule="auto"/>
        <w:ind w:left="0"/>
        <w:jc w:val="left"/>
        <w:rPr>
          <w:sz w:val="24"/>
          <w:szCs w:val="24"/>
        </w:rPr>
      </w:pPr>
      <w:r>
        <w:br w:type="page"/>
      </w:r>
    </w:p>
    <w:p w14:paraId="2AB02361" w14:textId="77777777" w:rsidR="00C35ED0" w:rsidRDefault="00C35ED0">
      <w:pPr>
        <w:pBdr>
          <w:top w:val="nil"/>
          <w:left w:val="nil"/>
          <w:bottom w:val="nil"/>
          <w:right w:val="nil"/>
          <w:between w:val="nil"/>
        </w:pBdr>
        <w:ind w:left="0"/>
        <w:jc w:val="left"/>
        <w:rPr>
          <w:rFonts w:eastAsia="Arial"/>
          <w:color w:val="000000"/>
          <w:sz w:val="24"/>
          <w:szCs w:val="24"/>
        </w:rPr>
      </w:pPr>
    </w:p>
    <w:p w14:paraId="424A16B5" w14:textId="77777777" w:rsidR="00C35ED0" w:rsidRDefault="008E7B7F">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Annex A – Cluster Members</w:t>
      </w:r>
    </w:p>
    <w:p w14:paraId="2F55E8C2" w14:textId="77777777" w:rsidR="00C35ED0" w:rsidRDefault="008E7B7F">
      <w:pPr>
        <w:ind w:left="0"/>
        <w:jc w:val="left"/>
        <w:rPr>
          <w:sz w:val="24"/>
          <w:szCs w:val="24"/>
        </w:rPr>
      </w:pPr>
      <w:r>
        <w:rPr>
          <w:sz w:val="24"/>
          <w:szCs w:val="24"/>
        </w:rPr>
        <w:t>The Deliverables shall also be provided for the benefit of the following Cluster Members:</w:t>
      </w:r>
    </w:p>
    <w:tbl>
      <w:tblPr>
        <w:tblStyle w:val="a0"/>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C35ED0" w14:paraId="33FE0D40" w14:textId="77777777">
        <w:tc>
          <w:tcPr>
            <w:tcW w:w="2254" w:type="dxa"/>
          </w:tcPr>
          <w:p w14:paraId="0DCF2D80" w14:textId="77777777" w:rsidR="00C35ED0" w:rsidRPr="00E00176" w:rsidRDefault="008E7B7F">
            <w:pPr>
              <w:keepNext/>
              <w:keepLines/>
              <w:spacing w:before="200" w:line="276" w:lineRule="auto"/>
              <w:ind w:left="0"/>
              <w:jc w:val="left"/>
              <w:rPr>
                <w:rFonts w:ascii="Arial" w:hAnsi="Arial" w:cs="Arial"/>
                <w:sz w:val="24"/>
                <w:szCs w:val="24"/>
              </w:rPr>
            </w:pPr>
            <w:r w:rsidRPr="00E00176">
              <w:rPr>
                <w:rFonts w:ascii="Arial" w:hAnsi="Arial" w:cs="Arial"/>
                <w:sz w:val="24"/>
                <w:szCs w:val="24"/>
              </w:rPr>
              <w:t>Name of Cluster Member</w:t>
            </w:r>
          </w:p>
        </w:tc>
        <w:tc>
          <w:tcPr>
            <w:tcW w:w="2254" w:type="dxa"/>
          </w:tcPr>
          <w:p w14:paraId="601144DD" w14:textId="77777777" w:rsidR="00C35ED0" w:rsidRPr="00E00176" w:rsidRDefault="008E7B7F">
            <w:pPr>
              <w:keepNext/>
              <w:keepLines/>
              <w:spacing w:before="200" w:line="276" w:lineRule="auto"/>
              <w:ind w:left="0"/>
              <w:jc w:val="left"/>
              <w:rPr>
                <w:rFonts w:ascii="Arial" w:hAnsi="Arial" w:cs="Arial"/>
                <w:sz w:val="24"/>
                <w:szCs w:val="24"/>
              </w:rPr>
            </w:pPr>
            <w:r w:rsidRPr="00E00176">
              <w:rPr>
                <w:rFonts w:ascii="Arial" w:hAnsi="Arial" w:cs="Arial"/>
                <w:sz w:val="24"/>
                <w:szCs w:val="24"/>
              </w:rPr>
              <w:t>Services to be provided</w:t>
            </w:r>
          </w:p>
        </w:tc>
        <w:tc>
          <w:tcPr>
            <w:tcW w:w="2254" w:type="dxa"/>
          </w:tcPr>
          <w:p w14:paraId="118BC96D" w14:textId="77777777" w:rsidR="00C35ED0" w:rsidRPr="00E00176" w:rsidRDefault="008E7B7F">
            <w:pPr>
              <w:keepNext/>
              <w:keepLines/>
              <w:spacing w:before="200" w:line="276" w:lineRule="auto"/>
              <w:ind w:left="0"/>
              <w:jc w:val="left"/>
              <w:rPr>
                <w:rFonts w:ascii="Arial" w:hAnsi="Arial" w:cs="Arial"/>
                <w:sz w:val="24"/>
                <w:szCs w:val="24"/>
              </w:rPr>
            </w:pPr>
            <w:r w:rsidRPr="00E00176">
              <w:rPr>
                <w:rFonts w:ascii="Arial" w:hAnsi="Arial" w:cs="Arial"/>
                <w:sz w:val="24"/>
                <w:szCs w:val="24"/>
              </w:rPr>
              <w:t>Duration</w:t>
            </w:r>
          </w:p>
        </w:tc>
        <w:tc>
          <w:tcPr>
            <w:tcW w:w="2254" w:type="dxa"/>
          </w:tcPr>
          <w:p w14:paraId="3ABB06BB" w14:textId="77777777" w:rsidR="00C35ED0" w:rsidRPr="00E00176" w:rsidRDefault="008E7B7F">
            <w:pPr>
              <w:keepNext/>
              <w:keepLines/>
              <w:spacing w:before="200" w:line="276" w:lineRule="auto"/>
              <w:ind w:left="0"/>
              <w:jc w:val="left"/>
              <w:rPr>
                <w:rFonts w:ascii="Arial" w:hAnsi="Arial" w:cs="Arial"/>
                <w:sz w:val="24"/>
                <w:szCs w:val="24"/>
              </w:rPr>
            </w:pPr>
            <w:r w:rsidRPr="00E00176">
              <w:rPr>
                <w:rFonts w:ascii="Arial" w:hAnsi="Arial" w:cs="Arial"/>
                <w:sz w:val="24"/>
                <w:szCs w:val="24"/>
              </w:rPr>
              <w:t>Special Terms</w:t>
            </w:r>
          </w:p>
        </w:tc>
      </w:tr>
      <w:tr w:rsidR="00C35ED0" w14:paraId="397448F7" w14:textId="77777777">
        <w:tc>
          <w:tcPr>
            <w:tcW w:w="2254" w:type="dxa"/>
          </w:tcPr>
          <w:p w14:paraId="344F1782"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5945A619"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6001FF0C"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47A253C3"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r>
      <w:tr w:rsidR="00C35ED0" w14:paraId="7C127400" w14:textId="77777777">
        <w:tc>
          <w:tcPr>
            <w:tcW w:w="2254" w:type="dxa"/>
          </w:tcPr>
          <w:p w14:paraId="3D1FFF80"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0F99AE31"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15BC355E"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70580706"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r>
      <w:tr w:rsidR="00C35ED0" w14:paraId="1D215329" w14:textId="77777777">
        <w:tc>
          <w:tcPr>
            <w:tcW w:w="2254" w:type="dxa"/>
          </w:tcPr>
          <w:p w14:paraId="6AF929E5"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73C926CE"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06E2AD57"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4120A9DD"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r>
      <w:tr w:rsidR="00C35ED0" w14:paraId="2441E914" w14:textId="77777777">
        <w:tc>
          <w:tcPr>
            <w:tcW w:w="2254" w:type="dxa"/>
          </w:tcPr>
          <w:p w14:paraId="22801780"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2712478B"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034F6243"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c>
          <w:tcPr>
            <w:tcW w:w="2254" w:type="dxa"/>
          </w:tcPr>
          <w:p w14:paraId="177951C0" w14:textId="77777777" w:rsidR="00C35ED0" w:rsidRPr="00E00176" w:rsidRDefault="008E7B7F">
            <w:pPr>
              <w:keepNext/>
              <w:keepLines/>
              <w:spacing w:before="200" w:line="276" w:lineRule="auto"/>
              <w:ind w:firstLine="1418"/>
              <w:jc w:val="left"/>
              <w:rPr>
                <w:rFonts w:ascii="Arial" w:hAnsi="Arial" w:cs="Arial"/>
                <w:sz w:val="24"/>
                <w:szCs w:val="24"/>
                <w:highlight w:val="yellow"/>
              </w:rPr>
            </w:pPr>
            <w:r w:rsidRPr="00E00176">
              <w:rPr>
                <w:rFonts w:ascii="Arial" w:hAnsi="Arial" w:cs="Arial"/>
                <w:sz w:val="24"/>
                <w:szCs w:val="24"/>
                <w:highlight w:val="yellow"/>
              </w:rPr>
              <w:t>[  ]</w:t>
            </w:r>
          </w:p>
        </w:tc>
      </w:tr>
    </w:tbl>
    <w:p w14:paraId="0F9762D6" w14:textId="77777777" w:rsidR="00C35ED0" w:rsidRDefault="00C35ED0">
      <w:pPr>
        <w:pBdr>
          <w:top w:val="nil"/>
          <w:left w:val="nil"/>
          <w:bottom w:val="nil"/>
          <w:right w:val="nil"/>
          <w:between w:val="nil"/>
        </w:pBdr>
        <w:ind w:left="0"/>
        <w:jc w:val="left"/>
        <w:rPr>
          <w:rFonts w:ascii="Calibri" w:eastAsia="Calibri" w:hAnsi="Calibri" w:cs="Calibri"/>
          <w:b/>
          <w:color w:val="000000"/>
          <w:sz w:val="24"/>
          <w:szCs w:val="24"/>
          <w:u w:val="single"/>
        </w:rPr>
      </w:pPr>
    </w:p>
    <w:sectPr w:rsidR="00C35ED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27AA" w14:textId="77777777" w:rsidR="008E7B7F" w:rsidRDefault="008E7B7F">
      <w:pPr>
        <w:spacing w:after="0"/>
      </w:pPr>
      <w:r>
        <w:separator/>
      </w:r>
    </w:p>
  </w:endnote>
  <w:endnote w:type="continuationSeparator" w:id="0">
    <w:p w14:paraId="4575196E" w14:textId="77777777" w:rsidR="008E7B7F" w:rsidRDefault="008E7B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C263" w14:textId="77777777" w:rsidR="00C35ED0" w:rsidRDefault="00C35ED0">
    <w:pPr>
      <w:tabs>
        <w:tab w:val="center" w:pos="4513"/>
        <w:tab w:val="right" w:pos="9026"/>
      </w:tabs>
      <w:spacing w:after="0"/>
      <w:ind w:left="0"/>
      <w:rPr>
        <w:sz w:val="20"/>
        <w:szCs w:val="20"/>
      </w:rPr>
    </w:pPr>
  </w:p>
  <w:p w14:paraId="71BA3A96" w14:textId="3ED4FB08" w:rsidR="00C35ED0" w:rsidRDefault="008E7B7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RM6360</w:t>
    </w:r>
  </w:p>
  <w:p w14:paraId="1066789E" w14:textId="77777777" w:rsidR="00C35ED0" w:rsidRDefault="008E7B7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noProof/>
        <w:color w:val="000000"/>
        <w:sz w:val="20"/>
        <w:szCs w:val="20"/>
      </w:rPr>
      <w:t>1</w:t>
    </w:r>
    <w:r>
      <w:rPr>
        <w:rFonts w:eastAsia="Arial"/>
        <w:color w:val="000000"/>
        <w:sz w:val="20"/>
        <w:szCs w:val="20"/>
      </w:rPr>
      <w:fldChar w:fldCharType="end"/>
    </w:r>
  </w:p>
  <w:p w14:paraId="462DFD12" w14:textId="77777777" w:rsidR="00C35ED0" w:rsidRDefault="008E7B7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17EA1" w14:textId="77777777" w:rsidR="00C35ED0" w:rsidRDefault="00C35ED0">
    <w:pPr>
      <w:tabs>
        <w:tab w:val="center" w:pos="4513"/>
        <w:tab w:val="right" w:pos="9026"/>
      </w:tabs>
      <w:spacing w:after="0"/>
      <w:ind w:left="0"/>
      <w:rPr>
        <w:sz w:val="20"/>
        <w:szCs w:val="20"/>
      </w:rPr>
    </w:pPr>
  </w:p>
  <w:p w14:paraId="78D3A367" w14:textId="77777777" w:rsidR="00C35ED0" w:rsidRDefault="008E7B7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6A309A1B" w14:textId="77777777" w:rsidR="00C35ED0" w:rsidRDefault="008E7B7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E00176">
      <w:rPr>
        <w:rFonts w:eastAsia="Arial"/>
        <w:color w:val="000000"/>
        <w:sz w:val="20"/>
        <w:szCs w:val="20"/>
      </w:rPr>
      <w:fldChar w:fldCharType="separate"/>
    </w:r>
    <w:r>
      <w:rPr>
        <w:rFonts w:eastAsia="Arial"/>
        <w:color w:val="000000"/>
        <w:sz w:val="20"/>
        <w:szCs w:val="20"/>
      </w:rPr>
      <w:fldChar w:fldCharType="end"/>
    </w:r>
  </w:p>
  <w:p w14:paraId="6594E907" w14:textId="77777777" w:rsidR="00C35ED0" w:rsidRDefault="008E7B7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Model </w:t>
    </w:r>
    <w:proofErr w:type="gramStart"/>
    <w:r>
      <w:rPr>
        <w:rFonts w:eastAsia="Arial"/>
        <w:color w:val="000000"/>
        <w:sz w:val="20"/>
        <w:szCs w:val="20"/>
      </w:rPr>
      <w:t>Version :</w:t>
    </w:r>
    <w:proofErr w:type="gramEnd"/>
    <w:r>
      <w:rPr>
        <w:rFonts w:eastAsia="Arial"/>
        <w:color w:val="000000"/>
        <w:sz w:val="20"/>
        <w:szCs w:val="20"/>
      </w:rPr>
      <w:t xml:space="preserve"> v3.0</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EEDF" w14:textId="77777777" w:rsidR="008E7B7F" w:rsidRDefault="008E7B7F">
      <w:pPr>
        <w:spacing w:after="0"/>
      </w:pPr>
      <w:r>
        <w:separator/>
      </w:r>
    </w:p>
  </w:footnote>
  <w:footnote w:type="continuationSeparator" w:id="0">
    <w:p w14:paraId="3AECE56D" w14:textId="77777777" w:rsidR="008E7B7F" w:rsidRDefault="008E7B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15CF4" w14:textId="77777777" w:rsidR="00C35ED0" w:rsidRDefault="008E7B7F">
    <w:pPr>
      <w:tabs>
        <w:tab w:val="center" w:pos="4513"/>
        <w:tab w:val="right" w:pos="9026"/>
      </w:tabs>
      <w:spacing w:after="0"/>
      <w:ind w:left="0"/>
      <w:jc w:val="left"/>
      <w:rPr>
        <w:sz w:val="20"/>
        <w:szCs w:val="20"/>
      </w:rPr>
    </w:pPr>
    <w:r>
      <w:rPr>
        <w:b/>
        <w:sz w:val="20"/>
        <w:szCs w:val="20"/>
      </w:rPr>
      <w:t>Call-Off Schedule 12 (Clustering)</w:t>
    </w:r>
  </w:p>
  <w:p w14:paraId="3F37FB0C" w14:textId="77777777" w:rsidR="00C35ED0" w:rsidRDefault="008E7B7F">
    <w:pPr>
      <w:tabs>
        <w:tab w:val="left" w:pos="3899"/>
      </w:tabs>
      <w:spacing w:after="0"/>
      <w:ind w:left="0"/>
      <w:jc w:val="left"/>
      <w:rPr>
        <w:sz w:val="20"/>
        <w:szCs w:val="20"/>
      </w:rPr>
    </w:pPr>
    <w:r>
      <w:rPr>
        <w:sz w:val="20"/>
        <w:szCs w:val="20"/>
      </w:rPr>
      <w:t xml:space="preserve">Call-Off Ref: </w:t>
    </w:r>
  </w:p>
  <w:p w14:paraId="61A6BF51" w14:textId="47549A29" w:rsidR="00C35ED0" w:rsidRDefault="008E7B7F">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Pr>
        <w:color w:val="000000"/>
        <w:sz w:val="20"/>
        <w:szCs w:val="20"/>
      </w:rPr>
      <w:t>20</w:t>
    </w:r>
    <w:r>
      <w:rPr>
        <w:sz w:val="20"/>
        <w:szCs w:val="20"/>
      </w:rPr>
      <w:t>25</w:t>
    </w:r>
  </w:p>
  <w:p w14:paraId="55067CF6" w14:textId="77777777" w:rsidR="00C35ED0" w:rsidRDefault="00C35ED0">
    <w:pPr>
      <w:tabs>
        <w:tab w:val="left" w:pos="3899"/>
      </w:tabs>
      <w:spacing w:after="0"/>
      <w:ind w:left="0"/>
      <w:jc w:val="left"/>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4651"/>
    <w:multiLevelType w:val="multilevel"/>
    <w:tmpl w:val="954C2F7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u w:val="none"/>
        <w:vertAlign w:val="baseline"/>
      </w:rPr>
    </w:lvl>
    <w:lvl w:ilvl="2">
      <w:start w:val="1"/>
      <w:numFmt w:val="decimal"/>
      <w:pStyle w:val="GPSL3numberedclause"/>
      <w:lvlText w:val="%1.%2.%3"/>
      <w:lvlJc w:val="left"/>
      <w:pPr>
        <w:ind w:left="1440" w:hanging="720"/>
      </w:pPr>
      <w:rPr>
        <w:i w:val="0"/>
        <w:smallCaps w:val="0"/>
        <w:strike w:val="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6C22654"/>
    <w:multiLevelType w:val="multilevel"/>
    <w:tmpl w:val="5344C2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22315097">
    <w:abstractNumId w:val="0"/>
  </w:num>
  <w:num w:numId="2" w16cid:durableId="1013070259">
    <w:abstractNumId w:val="1"/>
  </w:num>
  <w:num w:numId="3" w16cid:durableId="1483890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6169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ED0"/>
    <w:rsid w:val="008E7B7F"/>
    <w:rsid w:val="009633F3"/>
    <w:rsid w:val="00AE5520"/>
    <w:rsid w:val="00C35ED0"/>
    <w:rsid w:val="00E001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F54D4"/>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pPr>
      <w:numPr>
        <w:numId w:val="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uiPriority w:val="9"/>
    <w:semiHidden/>
    <w:unhideWhenUsed/>
    <w:qFormat/>
    <w:pPr>
      <w:numPr>
        <w:ilvl w:val="1"/>
        <w:numId w:val="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uiPriority w:val="9"/>
    <w:semiHidden/>
    <w:unhideWhenUsed/>
    <w:qFormat/>
    <w:pPr>
      <w:numPr>
        <w:ilvl w:val="2"/>
        <w:numId w:val="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uiPriority w:val="9"/>
    <w:semiHidden/>
    <w:unhideWhenUsed/>
    <w:qFormat/>
    <w:pPr>
      <w:numPr>
        <w:ilvl w:val="3"/>
        <w:numId w:val="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semiHidden/>
    <w:unhideWhenUsed/>
    <w:qFormat/>
    <w:pPr>
      <w:numPr>
        <w:ilvl w:val="4"/>
        <w:numId w:val="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semiHidden/>
    <w:unhideWhenUsed/>
    <w:qFormat/>
    <w:pPr>
      <w:numPr>
        <w:ilvl w:val="5"/>
        <w:numId w:val="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 w:type="table" w:customStyle="1" w:styleId="a0">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sU/Pt2LPNqmmRWiP1tCoPYIz3A==">CgMxLjAyCGguZ2pkZ3hzMgloLjMwajB6bGwyCWguMWZvYjl0ZTIJaC4zem55c2g3MgloLjJldDkycDA4AHIhMTN5QVJVczdaUkZ6VlMxMFBDSjZKSGdtWEhfN3E3cmVO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3154</Characters>
  <Application>Microsoft Office Word</Application>
  <DocSecurity>0</DocSecurity>
  <Lines>26</Lines>
  <Paragraphs>7</Paragraphs>
  <ScaleCrop>false</ScaleCrop>
  <Company>Government Legal Department</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Cassandra Keogh</cp:lastModifiedBy>
  <cp:revision>3</cp:revision>
  <dcterms:created xsi:type="dcterms:W3CDTF">2018-05-03T13:29:00Z</dcterms:created>
  <dcterms:modified xsi:type="dcterms:W3CDTF">2025-02-13T10:47:00Z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